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10" w:rsidRPr="00B66950" w:rsidRDefault="00854A10" w:rsidP="00854A10">
      <w:pPr>
        <w:pStyle w:val="Kop5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B66950">
        <w:rPr>
          <w:rFonts w:asciiTheme="minorHAnsi" w:hAnsiTheme="minorHAnsi" w:cstheme="minorHAnsi"/>
          <w:b/>
          <w:color w:val="auto"/>
          <w:sz w:val="28"/>
          <w:szCs w:val="28"/>
        </w:rPr>
        <w:t xml:space="preserve">Refereerbijeenkomst d.d. 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24 juni </w:t>
      </w:r>
      <w:r w:rsidRPr="00B66950">
        <w:rPr>
          <w:rFonts w:asciiTheme="minorHAnsi" w:hAnsiTheme="minorHAnsi" w:cstheme="minorHAnsi"/>
          <w:b/>
          <w:color w:val="auto"/>
          <w:sz w:val="28"/>
          <w:szCs w:val="28"/>
        </w:rPr>
        <w:t>2021 – 12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.</w:t>
      </w:r>
      <w:r w:rsidRPr="00B66950">
        <w:rPr>
          <w:rFonts w:asciiTheme="minorHAnsi" w:hAnsiTheme="minorHAnsi" w:cstheme="minorHAnsi"/>
          <w:b/>
          <w:color w:val="auto"/>
          <w:sz w:val="28"/>
          <w:szCs w:val="28"/>
        </w:rPr>
        <w:t>00 tot 13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.</w:t>
      </w:r>
      <w:r w:rsidRPr="00B66950">
        <w:rPr>
          <w:rFonts w:asciiTheme="minorHAnsi" w:hAnsiTheme="minorHAnsi" w:cstheme="minorHAnsi"/>
          <w:b/>
          <w:color w:val="auto"/>
          <w:sz w:val="28"/>
          <w:szCs w:val="28"/>
        </w:rPr>
        <w:t>00 uur</w:t>
      </w:r>
    </w:p>
    <w:p w:rsidR="00854A10" w:rsidRPr="00B66950" w:rsidRDefault="00854A10" w:rsidP="00854A10">
      <w:pPr>
        <w:rPr>
          <w:rFonts w:asciiTheme="minorHAnsi" w:hAnsiTheme="minorHAnsi"/>
          <w:sz w:val="24"/>
          <w:szCs w:val="24"/>
        </w:rPr>
      </w:pPr>
      <w:r w:rsidRPr="00B66950">
        <w:rPr>
          <w:rFonts w:asciiTheme="minorHAnsi" w:hAnsiTheme="minorHAnsi"/>
          <w:sz w:val="24"/>
          <w:szCs w:val="24"/>
        </w:rPr>
        <w:br/>
        <w:t xml:space="preserve">Spreker: </w:t>
      </w:r>
      <w:r>
        <w:rPr>
          <w:rFonts w:asciiTheme="minorHAnsi" w:hAnsiTheme="minorHAnsi"/>
          <w:sz w:val="24"/>
          <w:szCs w:val="24"/>
        </w:rPr>
        <w:t>Bert Tomson</w:t>
      </w:r>
    </w:p>
    <w:p w:rsidR="00854A10" w:rsidRPr="00B66950" w:rsidRDefault="00854A10" w:rsidP="00854A10">
      <w:pPr>
        <w:rPr>
          <w:rFonts w:asciiTheme="minorHAnsi" w:hAnsiTheme="minorHAnsi"/>
          <w:sz w:val="24"/>
          <w:szCs w:val="24"/>
        </w:rPr>
      </w:pPr>
    </w:p>
    <w:p w:rsidR="00854A10" w:rsidRPr="00B66950" w:rsidRDefault="00854A10" w:rsidP="00854A10">
      <w:pPr>
        <w:rPr>
          <w:rFonts w:asciiTheme="minorHAnsi" w:hAnsiTheme="minorHAnsi"/>
          <w:sz w:val="24"/>
          <w:szCs w:val="24"/>
        </w:rPr>
      </w:pPr>
    </w:p>
    <w:p w:rsidR="00854A10" w:rsidRDefault="00854A10" w:rsidP="00854A10">
      <w:pPr>
        <w:pStyle w:val="Kop5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B66950">
        <w:rPr>
          <w:rFonts w:asciiTheme="minorHAnsi" w:hAnsiTheme="minorHAnsi" w:cstheme="minorHAnsi"/>
          <w:b/>
          <w:color w:val="auto"/>
          <w:sz w:val="24"/>
          <w:szCs w:val="24"/>
        </w:rPr>
        <w:t>TITEL</w:t>
      </w:r>
    </w:p>
    <w:p w:rsidR="00854A10" w:rsidRDefault="00854A10" w:rsidP="00854A10">
      <w:r>
        <w:t>Klinische gegevens over het gebruik van een “</w:t>
      </w:r>
      <w:proofErr w:type="spellStart"/>
      <w:r>
        <w:t>epitopen</w:t>
      </w:r>
      <w:proofErr w:type="spellEnd"/>
      <w:r>
        <w:t xml:space="preserve"> match” voor refractaire patiënten met HLA antistoffen.</w:t>
      </w:r>
    </w:p>
    <w:p w:rsidR="00854A10" w:rsidRPr="00F55033" w:rsidRDefault="00854A10" w:rsidP="00854A10">
      <w:r>
        <w:rPr>
          <w:noProof/>
        </w:rPr>
        <w:drawing>
          <wp:inline distT="0" distB="0" distL="0" distR="0" wp14:anchorId="5448B7D8" wp14:editId="04C1BD94">
            <wp:extent cx="2725863" cy="103396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49" cy="104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10" w:rsidRDefault="00854A10" w:rsidP="00854A10">
      <w:pPr>
        <w:rPr>
          <w:rFonts w:cs="Arial"/>
          <w:b/>
          <w:bCs/>
          <w:color w:val="333333"/>
          <w:sz w:val="18"/>
          <w:szCs w:val="18"/>
          <w:shd w:val="clear" w:color="auto" w:fill="FFFFFF"/>
        </w:rPr>
      </w:pPr>
    </w:p>
    <w:p w:rsidR="00854A10" w:rsidRPr="0032556A" w:rsidRDefault="00854A10" w:rsidP="00854A10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32556A">
        <w:rPr>
          <w:rFonts w:asciiTheme="minorHAnsi" w:hAnsiTheme="minorHAnsi" w:cs="Arial"/>
          <w:b/>
          <w:bCs/>
          <w:color w:val="000000" w:themeColor="text1"/>
          <w:sz w:val="24"/>
          <w:szCs w:val="24"/>
          <w:shd w:val="clear" w:color="auto" w:fill="FFFFFF"/>
        </w:rPr>
        <w:t>KWALIFICATIE VAN DE SPREKER</w:t>
      </w:r>
    </w:p>
    <w:p w:rsidR="00854A10" w:rsidRPr="008F74AD" w:rsidRDefault="00854A10" w:rsidP="00854A10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d</w:t>
      </w:r>
      <w:r w:rsidRPr="008F74AD">
        <w:rPr>
          <w:rFonts w:asciiTheme="minorHAnsi" w:hAnsiTheme="minorHAnsi"/>
          <w:noProof/>
        </w:rPr>
        <w:t>r</w:t>
      </w:r>
      <w:r>
        <w:rPr>
          <w:rFonts w:asciiTheme="minorHAnsi" w:hAnsiTheme="minorHAnsi"/>
          <w:noProof/>
        </w:rPr>
        <w:t>s. T.A.S. Tomson, transfusiearts, Unit Transfusiegeneeskunde, S</w:t>
      </w:r>
      <w:r w:rsidRPr="008F74AD">
        <w:rPr>
          <w:rFonts w:asciiTheme="minorHAnsi" w:hAnsiTheme="minorHAnsi"/>
          <w:noProof/>
        </w:rPr>
        <w:t>anquin Bloedbank</w:t>
      </w:r>
    </w:p>
    <w:p w:rsidR="00854A10" w:rsidRDefault="00854A10" w:rsidP="00854A10">
      <w:pPr>
        <w:rPr>
          <w:rFonts w:asciiTheme="minorHAnsi" w:hAnsiTheme="minorHAnsi"/>
          <w:sz w:val="24"/>
          <w:szCs w:val="24"/>
        </w:rPr>
      </w:pPr>
    </w:p>
    <w:p w:rsidR="00854A10" w:rsidRPr="008F74AD" w:rsidRDefault="00854A10" w:rsidP="00854A10">
      <w:pPr>
        <w:rPr>
          <w:rFonts w:asciiTheme="minorHAnsi" w:hAnsiTheme="minorHAnsi"/>
          <w:sz w:val="24"/>
          <w:szCs w:val="24"/>
        </w:rPr>
      </w:pPr>
    </w:p>
    <w:p w:rsidR="00854A10" w:rsidRPr="00B66950" w:rsidRDefault="00854A10" w:rsidP="00854A10">
      <w:pPr>
        <w:rPr>
          <w:rFonts w:asciiTheme="minorHAnsi" w:hAnsiTheme="minorHAnsi"/>
          <w:b/>
          <w:sz w:val="24"/>
          <w:szCs w:val="24"/>
        </w:rPr>
      </w:pPr>
      <w:r w:rsidRPr="00B66950">
        <w:rPr>
          <w:rFonts w:asciiTheme="minorHAnsi" w:hAnsiTheme="minorHAnsi"/>
          <w:b/>
          <w:sz w:val="24"/>
          <w:szCs w:val="24"/>
        </w:rPr>
        <w:t>DOELGROEP (AFDELING, GROEP)</w:t>
      </w:r>
    </w:p>
    <w:p w:rsidR="00854A10" w:rsidRDefault="00FF770E" w:rsidP="00854A10">
      <w:pPr>
        <w:pStyle w:val="Tekstzonderopmaak"/>
      </w:pPr>
      <w:r>
        <w:t>Unit transfusiegeneeskunde</w:t>
      </w:r>
    </w:p>
    <w:p w:rsidR="00FF770E" w:rsidRDefault="00FF770E" w:rsidP="00854A10">
      <w:pPr>
        <w:pStyle w:val="Tekstzonderopmaak"/>
      </w:pPr>
      <w:r>
        <w:t>Medische donorzaken</w:t>
      </w:r>
      <w:bookmarkStart w:id="0" w:name="_GoBack"/>
      <w:bookmarkEnd w:id="0"/>
    </w:p>
    <w:p w:rsidR="00854A10" w:rsidRPr="00B66950" w:rsidRDefault="00854A10" w:rsidP="00854A10">
      <w:pPr>
        <w:pStyle w:val="Kop1"/>
        <w:rPr>
          <w:rFonts w:asciiTheme="minorHAnsi" w:hAnsiTheme="minorHAnsi" w:cstheme="minorHAnsi"/>
          <w:color w:val="auto"/>
          <w:sz w:val="24"/>
          <w:szCs w:val="24"/>
        </w:rPr>
      </w:pPr>
      <w:r w:rsidRPr="00B66950">
        <w:rPr>
          <w:rFonts w:asciiTheme="minorHAnsi" w:hAnsiTheme="minorHAnsi" w:cstheme="minorHAnsi"/>
          <w:color w:val="auto"/>
          <w:sz w:val="24"/>
          <w:szCs w:val="24"/>
        </w:rPr>
        <w:t>SAMENVATTING</w:t>
      </w:r>
    </w:p>
    <w:p w:rsidR="00854A10" w:rsidRDefault="00854A10" w:rsidP="00854A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 ondersteuning van refractaire HLA geïmmuniseerde patiënten met HLA </w:t>
      </w:r>
      <w:proofErr w:type="spellStart"/>
      <w:r>
        <w:rPr>
          <w:rFonts w:asciiTheme="minorHAnsi" w:hAnsiTheme="minorHAnsi" w:cstheme="minorHAnsi"/>
          <w:sz w:val="24"/>
          <w:szCs w:val="24"/>
        </w:rPr>
        <w:t>gematchte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trombocytenproducten is een klinisch belangrijke, maar ook kostbare voorziening. De kosten zitten voor een groot deel in het typeren op HLA van voldoende donors.</w:t>
      </w:r>
    </w:p>
    <w:p w:rsidR="00854A10" w:rsidRDefault="00854A10" w:rsidP="00854A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Het zoeken van een juiste donor op HLA kenmerken gebeurt meestal op “antigeen </w:t>
      </w:r>
      <w:proofErr w:type="spellStart"/>
      <w:r>
        <w:rPr>
          <w:rFonts w:asciiTheme="minorHAnsi" w:hAnsiTheme="minorHAnsi" w:cstheme="minorHAnsi"/>
          <w:sz w:val="24"/>
          <w:szCs w:val="24"/>
        </w:rPr>
        <w:t>nivo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”. Sinds een aantal jaren worden match algoritmen beschreven, waarmee in de zelfde donorpool meer geschikte donors gevonden kunnen worden als de HLA </w:t>
      </w:r>
      <w:proofErr w:type="spellStart"/>
      <w:r>
        <w:rPr>
          <w:rFonts w:asciiTheme="minorHAnsi" w:hAnsiTheme="minorHAnsi" w:cstheme="minorHAnsi"/>
          <w:sz w:val="24"/>
          <w:szCs w:val="24"/>
        </w:rPr>
        <w:t>epitopen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van de patiënten en donors </w:t>
      </w:r>
      <w:proofErr w:type="spellStart"/>
      <w:r>
        <w:rPr>
          <w:rFonts w:asciiTheme="minorHAnsi" w:hAnsiTheme="minorHAnsi" w:cstheme="minorHAnsi"/>
          <w:sz w:val="24"/>
          <w:szCs w:val="24"/>
        </w:rPr>
        <w:t>gematcht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worden in plaats van naar de HLA antigenen. Recent is in de UK een eerste gerandomiseerde, dubbelblinde, cross-over klinische studie gedaan, die de klinische resultaten van deze 2 technieken voor 49 patiënten vergelijkt. De studie laat zien dat de “</w:t>
      </w:r>
      <w:proofErr w:type="spellStart"/>
      <w:r>
        <w:rPr>
          <w:rFonts w:asciiTheme="minorHAnsi" w:hAnsiTheme="minorHAnsi" w:cstheme="minorHAnsi"/>
          <w:sz w:val="24"/>
          <w:szCs w:val="24"/>
        </w:rPr>
        <w:t>epitoop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match” niet inferieur was aan de “antigeen match”.</w:t>
      </w:r>
    </w:p>
    <w:p w:rsidR="00854A10" w:rsidRDefault="00854A10" w:rsidP="00854A10">
      <w:pPr>
        <w:rPr>
          <w:rFonts w:asciiTheme="minorHAnsi" w:hAnsiTheme="minorHAnsi" w:cstheme="minorHAnsi"/>
          <w:sz w:val="24"/>
          <w:szCs w:val="24"/>
        </w:rPr>
      </w:pPr>
    </w:p>
    <w:p w:rsidR="00854A10" w:rsidRPr="00B20D9A" w:rsidRDefault="00854A10" w:rsidP="00854A10">
      <w:pPr>
        <w:rPr>
          <w:rFonts w:asciiTheme="minorHAnsi" w:hAnsiTheme="minorHAnsi" w:cs="Arial"/>
          <w:b/>
          <w:sz w:val="24"/>
          <w:szCs w:val="24"/>
          <w:lang w:val="en-US"/>
        </w:rPr>
      </w:pPr>
      <w:r w:rsidRPr="00B20D9A">
        <w:rPr>
          <w:rFonts w:asciiTheme="minorHAnsi" w:hAnsiTheme="minorHAnsi" w:cs="Arial"/>
          <w:b/>
          <w:sz w:val="24"/>
          <w:szCs w:val="24"/>
          <w:lang w:val="en-US"/>
        </w:rPr>
        <w:t>LITERATUUR</w:t>
      </w:r>
    </w:p>
    <w:p w:rsidR="00854A10" w:rsidRPr="00975F4E" w:rsidRDefault="00854A10" w:rsidP="00854A10">
      <w:pPr>
        <w:autoSpaceDE w:val="0"/>
        <w:autoSpaceDN w:val="0"/>
        <w:adjustRightInd w:val="0"/>
        <w:rPr>
          <w:rFonts w:asciiTheme="minorHAnsi" w:hAnsiTheme="minorHAnsi" w:cs="AdvOTdda8b145"/>
        </w:rPr>
      </w:pPr>
      <w:r w:rsidRPr="00B20D9A">
        <w:rPr>
          <w:rFonts w:asciiTheme="minorHAnsi" w:hAnsiTheme="minorHAnsi" w:cs="AdvOTdda8b145"/>
          <w:lang w:val="en-US"/>
        </w:rPr>
        <w:t xml:space="preserve">1. An epitope-based approach of HLA-matched platelets for transfusion: a </w:t>
      </w:r>
      <w:proofErr w:type="spellStart"/>
      <w:r w:rsidRPr="00B20D9A">
        <w:rPr>
          <w:rFonts w:asciiTheme="minorHAnsi" w:hAnsiTheme="minorHAnsi" w:cs="AdvOTdda8b145"/>
          <w:lang w:val="en-US"/>
        </w:rPr>
        <w:t>noninferiority</w:t>
      </w:r>
      <w:proofErr w:type="spellEnd"/>
      <w:r w:rsidRPr="00B20D9A">
        <w:rPr>
          <w:rFonts w:asciiTheme="minorHAnsi" w:hAnsiTheme="minorHAnsi" w:cs="AdvOTdda8b145"/>
          <w:lang w:val="en-US"/>
        </w:rPr>
        <w:t xml:space="preserve"> crossover randomized trial, Judith C. Marsh et al, </w:t>
      </w:r>
      <w:r w:rsidRPr="00B20D9A">
        <w:rPr>
          <w:rFonts w:ascii="AdvOTa851a675.B" w:eastAsiaTheme="minorHAnsi" w:hAnsi="AdvOTa851a675.B" w:cs="AdvOTa851a675.B"/>
          <w:sz w:val="18"/>
          <w:szCs w:val="18"/>
          <w:lang w:val="en-US" w:eastAsia="en-US"/>
        </w:rPr>
        <w:t>(</w:t>
      </w:r>
      <w:r w:rsidRPr="00B20D9A">
        <w:rPr>
          <w:rFonts w:ascii="AdvOTa9e6a8c4.BI" w:eastAsiaTheme="minorHAnsi" w:hAnsi="AdvOTa9e6a8c4.BI" w:cs="AdvOTa9e6a8c4.BI"/>
          <w:sz w:val="18"/>
          <w:szCs w:val="18"/>
          <w:lang w:val="en-US" w:eastAsia="en-US"/>
        </w:rPr>
        <w:t>Blood</w:t>
      </w:r>
      <w:r w:rsidRPr="00B20D9A">
        <w:rPr>
          <w:rFonts w:ascii="AdvOTa851a675.B" w:eastAsiaTheme="minorHAnsi" w:hAnsi="AdvOTa851a675.B" w:cs="AdvOTa851a675.B"/>
          <w:sz w:val="18"/>
          <w:szCs w:val="18"/>
          <w:lang w:val="en-US" w:eastAsia="en-US"/>
        </w:rPr>
        <w:t xml:space="preserve">. </w:t>
      </w:r>
      <w:r>
        <w:rPr>
          <w:rFonts w:ascii="AdvOTa851a675.B" w:eastAsiaTheme="minorHAnsi" w:hAnsi="AdvOTa851a675.B" w:cs="AdvOTa851a675.B"/>
          <w:sz w:val="18"/>
          <w:szCs w:val="18"/>
          <w:lang w:eastAsia="en-US"/>
        </w:rPr>
        <w:t>2021;137(3):310-322)</w:t>
      </w:r>
    </w:p>
    <w:p w:rsidR="00854A10" w:rsidRPr="00975F4E" w:rsidRDefault="00854A10" w:rsidP="00854A10">
      <w:pPr>
        <w:autoSpaceDE w:val="0"/>
        <w:autoSpaceDN w:val="0"/>
        <w:adjustRightInd w:val="0"/>
        <w:rPr>
          <w:rFonts w:cs="AdvOTdda8b145"/>
        </w:rPr>
      </w:pPr>
    </w:p>
    <w:p w:rsidR="00854A10" w:rsidRPr="00975F4E" w:rsidRDefault="00854A10" w:rsidP="00854A10">
      <w:pPr>
        <w:autoSpaceDE w:val="0"/>
        <w:autoSpaceDN w:val="0"/>
        <w:adjustRightInd w:val="0"/>
        <w:rPr>
          <w:rFonts w:cs="AdvOTdda8b145"/>
        </w:rPr>
      </w:pPr>
    </w:p>
    <w:p w:rsidR="00066F52" w:rsidRDefault="00066F52"/>
    <w:sectPr w:rsidR="0006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vOTdda8b14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a851a675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a9e6a8c4.B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10"/>
    <w:rsid w:val="00066F52"/>
    <w:rsid w:val="000E28F0"/>
    <w:rsid w:val="00854A10"/>
    <w:rsid w:val="009E20D6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5868C-EC7A-4517-A32F-67E7ED0D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4A10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54A10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54A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54A10"/>
    <w:rPr>
      <w:rFonts w:ascii="Arial" w:eastAsiaTheme="majorEastAsia" w:hAnsi="Arial" w:cstheme="majorBidi"/>
      <w:b/>
      <w:bCs/>
      <w:color w:val="000000" w:themeColor="text1"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854A10"/>
    <w:rPr>
      <w:rFonts w:asciiTheme="majorHAnsi" w:eastAsiaTheme="majorEastAsia" w:hAnsiTheme="majorHAnsi" w:cstheme="majorBidi"/>
      <w:color w:val="1F4D78" w:themeColor="accent1" w:themeShade="7F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54A10"/>
    <w:rPr>
      <w:rFonts w:ascii="Calibri" w:eastAsiaTheme="minorHAnsi" w:hAnsi="Calibri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54A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9E38C239</Template>
  <TotalTime>2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Sanquin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Vestjens, Ellen</dc:creator>
  <cp:keywords/>
  <dc:description/>
  <cp:lastModifiedBy>Vestjens, Ellen</cp:lastModifiedBy>
  <cp:revision>2</cp:revision>
  <dcterms:created xsi:type="dcterms:W3CDTF">2021-05-10T08:54:00Z</dcterms:created>
  <dcterms:modified xsi:type="dcterms:W3CDTF">2021-05-10T08:56:00Z</dcterms:modified>
</cp:coreProperties>
</file>